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Supplementary Appendix for:</w:t>
        <w:br w:type="textWrapping"/>
      </w: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Seeing Clearly: Effects of Initiatives to Improve Diabetic Retinopathy Screening at a Pediatric Center</w:t>
      </w:r>
    </w:p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Carol K.L. Lam, Stephen Zborovski, Mark R. Palmert, and Jennifer Harrington</w: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DOI: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https://doi.org/10.2337/cd18-0084</w:t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. Published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12 Feb 2019</w:t>
      </w: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venir" w:cs="Avenir" w:eastAsia="Avenir" w:hAnsi="Avenir"/>
          <w:b w:val="1"/>
          <w:color w:val="000000"/>
          <w:sz w:val="18"/>
          <w:szCs w:val="18"/>
        </w:rPr>
      </w:pPr>
      <w:bookmarkStart w:colFirst="0" w:colLast="0" w:name="_30j0zll" w:id="0"/>
      <w:bookmarkEnd w:id="0"/>
      <w:r w:rsidDel="00000000" w:rsidR="00000000" w:rsidRPr="00000000">
        <w:rPr>
          <w:rFonts w:ascii="Avenir" w:cs="Avenir" w:eastAsia="Avenir" w:hAnsi="Avenir"/>
          <w:b w:val="1"/>
          <w:color w:val="000000"/>
          <w:sz w:val="18"/>
          <w:szCs w:val="18"/>
          <w:rtl w:val="0"/>
        </w:rPr>
        <w:t xml:space="preserve">Supplementary Data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Supplementary Figure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sz w:val="18"/>
          <w:szCs w:val="18"/>
          <w:rtl w:val="0"/>
        </w:rPr>
        <w:t xml:space="preserve">Supplementary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1. Rate of DRS.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 chart showing rates of DRS screening in eligible patients with type 1 diabetes (T1DM) at baseline and during intervention.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317</wp:posOffset>
            </wp:positionH>
            <wp:positionV relativeFrom="paragraph">
              <wp:posOffset>0</wp:posOffset>
            </wp:positionV>
            <wp:extent cx="5942965" cy="335724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357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Percentage of eligible patients with communication from eye care professional documented in the hospital’s EMR.</w:t>
      </w:r>
      <w:r w:rsidDel="00000000" w:rsidR="00000000" w:rsidRPr="00000000">
        <w:rPr>
          <w:rtl w:val="0"/>
        </w:rPr>
      </w:r>
    </w:p>
    <w:tbl>
      <w:tblPr>
        <w:tblStyle w:val="Table1"/>
        <w:tblW w:w="8454.0" w:type="dxa"/>
        <w:jc w:val="left"/>
        <w:tblInd w:w="0.0" w:type="dxa"/>
        <w:tblLayout w:type="fixed"/>
        <w:tblLook w:val="0000"/>
      </w:tblPr>
      <w:tblGrid>
        <w:gridCol w:w="2064"/>
        <w:gridCol w:w="6390"/>
        <w:tblGridChange w:id="0">
          <w:tblGrid>
            <w:gridCol w:w="2064"/>
            <w:gridCol w:w="639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PERCENT OF ELIGIBLE PATIENTS WITH COMMUNICATION FROM EYE CARE PROFESSIONAL IN HOSPITAL EMR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 = 120 eligible)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 = 127)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 = 126)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16.7% (P &lt;0.01)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44.0" w:type="dxa"/>
        <w:bottom w:w="72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